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rPr>
          <w:rFonts w:eastAsiaTheme="minorEastAsia"/>
          <w:kern w:val="0"/>
          <w:sz w:val="30"/>
          <w:szCs w:val="30"/>
        </w:rPr>
      </w:pPr>
    </w:p>
    <w:p>
      <w:pPr>
        <w:pStyle w:val="48"/>
        <w:spacing w:line="540" w:lineRule="exact"/>
        <w:rPr>
          <w:rFonts w:eastAsiaTheme="minorEastAsia"/>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塔什库尔干县农牧民夜校项目</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实施单位（公章）：中共塔什库尔干塔吉克自治县委员会组织部</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主管部门（公章）：中共塔什库尔干塔吉克自治县委员会</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项目负责人（签章）：刘鹏</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zh-TW"/>
        </w:rPr>
        <w:t>31</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hint="eastAsia" w:ascii="黑体" w:hAnsi="黑体" w:eastAsia="黑体"/>
          <w:b w:val="0"/>
          <w:spacing w:val="-4"/>
          <w:sz w:val="32"/>
          <w:szCs w:val="32"/>
        </w:rPr>
      </w:pPr>
    </w:p>
    <w:p>
      <w:pPr>
        <w:pStyle w:val="48"/>
        <w:spacing w:line="700" w:lineRule="exact"/>
        <w:ind w:firstLine="624" w:firstLineChars="200"/>
        <w:jc w:val="left"/>
        <w:rPr>
          <w:rStyle w:val="19"/>
          <w:rFonts w:hint="eastAsia" w:ascii="黑体" w:hAnsi="黑体" w:eastAsia="黑体"/>
          <w:b w:val="0"/>
          <w:spacing w:val="-4"/>
          <w:sz w:val="32"/>
          <w:szCs w:val="32"/>
        </w:rPr>
      </w:pPr>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40" w:lineRule="exact"/>
        <w:ind w:firstLine="640"/>
        <w:rPr>
          <w:rStyle w:val="19"/>
          <w:rFonts w:ascii="仿宋" w:hAnsi="仿宋" w:eastAsia="仿宋"/>
          <w:spacing w:val="-4"/>
          <w:sz w:val="32"/>
          <w:szCs w:val="32"/>
        </w:rPr>
      </w:pPr>
      <w:r>
        <w:rPr>
          <w:rFonts w:hint="eastAsia" w:ascii="仿宋" w:hAnsi="仿宋" w:eastAsia="仿宋" w:cs="Arial"/>
          <w:sz w:val="32"/>
          <w:szCs w:val="32"/>
        </w:rPr>
        <w:t>我部编制人数26人，其中：行政人员编制9人，参照公务员管理的事业单位人员编制10人，全额拨款事业单位人员编制6人，包括</w:t>
      </w:r>
      <w:r>
        <w:rPr>
          <w:rFonts w:hint="eastAsia" w:ascii="仿宋" w:hAnsi="仿宋" w:eastAsia="仿宋"/>
          <w:sz w:val="32"/>
          <w:szCs w:val="32"/>
        </w:rPr>
        <w:t>办公室、人才援疆办、干部科、基层办、干训科、干监科、组织科等部门。</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spacing w:line="540" w:lineRule="exact"/>
        <w:ind w:firstLine="640"/>
        <w:rPr>
          <w:rFonts w:ascii="仿宋" w:hAnsi="仿宋" w:eastAsia="仿宋" w:cs="Arial"/>
          <w:sz w:val="32"/>
          <w:szCs w:val="32"/>
        </w:rPr>
      </w:pPr>
      <w:bookmarkStart w:id="0" w:name="_Toc405279309"/>
      <w:r>
        <w:rPr>
          <w:rFonts w:hint="eastAsia" w:ascii="仿宋" w:hAnsi="仿宋" w:eastAsia="仿宋" w:cs="Arial"/>
          <w:sz w:val="32"/>
          <w:szCs w:val="32"/>
          <w:lang w:eastAsia="zh-CN"/>
        </w:rPr>
        <w:t>本</w:t>
      </w:r>
      <w:r>
        <w:rPr>
          <w:rFonts w:ascii="仿宋" w:hAnsi="仿宋" w:eastAsia="仿宋" w:cs="Arial"/>
          <w:sz w:val="32"/>
          <w:szCs w:val="32"/>
        </w:rPr>
        <w:t>项目经费主要用于农牧民夜校授课教师的课时费。</w:t>
      </w:r>
      <w:r>
        <w:rPr>
          <w:rFonts w:hint="eastAsia" w:ascii="仿宋" w:hAnsi="仿宋" w:eastAsia="仿宋" w:cs="Arial"/>
          <w:sz w:val="32"/>
          <w:szCs w:val="32"/>
        </w:rPr>
        <w:t>这样能够提高授课教师的责任心，使农牧民更好的提高国语水平。</w:t>
      </w:r>
      <w:r>
        <w:rPr>
          <w:rFonts w:hint="eastAsia" w:ascii="仿宋" w:hAnsi="仿宋" w:eastAsia="仿宋" w:cs="Arial"/>
          <w:color w:val="000000" w:themeColor="text1"/>
          <w:sz w:val="32"/>
          <w:szCs w:val="32"/>
        </w:rPr>
        <w:t>本次农牧民夜校项目经费共163万元，农牧民夜校兼职教师90人，每人每天上课2课时，分成3个班，3个时段，每课时20元，总共支付163万元。</w:t>
      </w:r>
    </w:p>
    <w:bookmarkEnd w:id="0"/>
    <w:p>
      <w:pPr>
        <w:tabs>
          <w:tab w:val="left" w:pos="6882"/>
        </w:tabs>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40" w:firstLineChars="200"/>
        <w:rPr>
          <w:rFonts w:ascii="仿宋" w:hAnsi="仿宋" w:eastAsia="仿宋" w:cs="Arial"/>
          <w:sz w:val="32"/>
          <w:szCs w:val="32"/>
        </w:rPr>
      </w:pPr>
      <w:r>
        <w:rPr>
          <w:rFonts w:hint="eastAsia" w:ascii="仿宋" w:hAnsi="仿宋" w:eastAsia="仿宋" w:cs="Arial"/>
          <w:sz w:val="32"/>
          <w:szCs w:val="32"/>
        </w:rPr>
        <w:t>该项目性质为新增项目。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40" w:firstLineChars="200"/>
        <w:rPr>
          <w:rFonts w:ascii="仿宋" w:hAnsi="仿宋" w:eastAsia="仿宋"/>
          <w:bCs/>
          <w:color w:val="FF0000"/>
          <w:spacing w:val="-4"/>
          <w:sz w:val="32"/>
          <w:szCs w:val="32"/>
        </w:rPr>
      </w:pPr>
      <w:r>
        <w:rPr>
          <w:rFonts w:hint="eastAsia" w:ascii="仿宋" w:hAnsi="仿宋" w:eastAsia="仿宋" w:cs="Arial"/>
          <w:color w:val="000000" w:themeColor="text1"/>
          <w:sz w:val="32"/>
          <w:szCs w:val="32"/>
        </w:rPr>
        <w:t>农牧民夜校项目经费共163万元，</w:t>
      </w:r>
      <w:r>
        <w:rPr>
          <w:rFonts w:ascii="仿宋" w:hAnsi="仿宋" w:eastAsia="仿宋" w:cs="Arial"/>
          <w:sz w:val="32"/>
          <w:szCs w:val="32"/>
        </w:rPr>
        <w:t>用于农牧民夜校授课教师的课时费，</w:t>
      </w:r>
      <w:r>
        <w:rPr>
          <w:rFonts w:hint="eastAsia" w:ascii="仿宋" w:hAnsi="仿宋" w:eastAsia="仿宋" w:cs="Arial"/>
          <w:color w:val="000000" w:themeColor="text1"/>
          <w:sz w:val="32"/>
          <w:szCs w:val="32"/>
        </w:rPr>
        <w:t>农牧民夜校兼职教师90人，每人每天上课2课时，分成3个班，3个时段，每课时20元。</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color w:val="000000" w:themeColor="text1"/>
          <w:spacing w:val="-4"/>
          <w:sz w:val="32"/>
          <w:szCs w:val="32"/>
        </w:rPr>
      </w:pPr>
      <w:r>
        <w:rPr>
          <w:rFonts w:hint="eastAsia" w:ascii="仿宋" w:hAnsi="仿宋" w:eastAsia="仿宋" w:cs="Arial"/>
          <w:color w:val="000000" w:themeColor="text1"/>
          <w:sz w:val="32"/>
          <w:szCs w:val="32"/>
        </w:rPr>
        <w:t>农牧民夜校项目</w:t>
      </w:r>
      <w:r>
        <w:rPr>
          <w:rFonts w:hint="eastAsia" w:ascii="仿宋" w:hAnsi="仿宋" w:eastAsia="仿宋"/>
          <w:bCs/>
          <w:color w:val="000000" w:themeColor="text1"/>
          <w:spacing w:val="-4"/>
          <w:sz w:val="32"/>
          <w:szCs w:val="32"/>
        </w:rPr>
        <w:t>预算安排总额为163万元，其中财政资金163万元，2018年实际收到预算资金163万元。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40" w:lineRule="exact"/>
        <w:ind w:firstLine="64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本项目实际支付资163万元，预算执行率100%。项目资金主要</w:t>
      </w:r>
      <w:r>
        <w:rPr>
          <w:rFonts w:ascii="仿宋" w:hAnsi="仿宋" w:eastAsia="仿宋" w:cs="Arial"/>
          <w:color w:val="000000" w:themeColor="text1"/>
          <w:sz w:val="32"/>
          <w:szCs w:val="32"/>
        </w:rPr>
        <w:t>用于农牧民夜校授课教师的课时费，</w:t>
      </w:r>
      <w:r>
        <w:rPr>
          <w:rFonts w:hint="eastAsia" w:ascii="仿宋" w:hAnsi="仿宋" w:eastAsia="仿宋" w:cs="Arial"/>
          <w:color w:val="000000" w:themeColor="text1"/>
          <w:sz w:val="32"/>
          <w:szCs w:val="32"/>
        </w:rPr>
        <w:t>经费支出163万元、没有用于其他支出。</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480" w:lineRule="atLeast"/>
        <w:ind w:firstLine="470" w:firstLineChars="147"/>
        <w:jc w:val="left"/>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项目支出符合地区关于这项资金用途的要求，下拨资金全部用于我县各乡镇农牧民夜校教师课时费的发放，资金的拨付有完整的审批程序和手续，自地区下拨该项资金以后，由县委组织部财务人员按照发放标准和需发放人数直接发放给受益人群，此过程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40" w:firstLineChars="200"/>
        <w:rPr>
          <w:rFonts w:cs="Arial"/>
          <w:bCs/>
          <w:color w:val="000000" w:themeColor="text1"/>
        </w:rPr>
      </w:pPr>
      <w:r>
        <w:rPr>
          <w:rFonts w:hint="eastAsia" w:ascii="仿宋" w:hAnsi="仿宋" w:eastAsia="仿宋" w:cs="Arial"/>
          <w:color w:val="000000" w:themeColor="text1"/>
          <w:sz w:val="32"/>
          <w:szCs w:val="32"/>
        </w:rPr>
        <w:t>本项目不存在调整情况。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4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对该项目资金的管理及发放方式，是由我县发放实际及与各相关单位共同商议的结果，即由县委组织部发放到各乡镇，再由各乡镇负责最终的发放，最后由县委组织部对发放结果进行调查，以确保该项资金的足额发放。</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lang w:val="en-US" w:eastAsia="zh-CN"/>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color w:val="000000" w:themeColor="text1"/>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19"/>
          <w:rFonts w:hint="eastAsia" w:ascii="仿宋" w:hAnsi="仿宋" w:eastAsia="仿宋"/>
          <w:b w:val="0"/>
          <w:color w:val="000000" w:themeColor="text1"/>
          <w:spacing w:val="-4"/>
          <w:sz w:val="32"/>
          <w:szCs w:val="32"/>
          <w:lang w:eastAsia="zh-CN"/>
          <w14:textFill>
            <w14:solidFill>
              <w14:schemeClr w14:val="tx1"/>
            </w14:solidFill>
          </w14:textFill>
        </w:rPr>
      </w:pPr>
      <w:r>
        <w:rPr>
          <w:rStyle w:val="19"/>
          <w:rFonts w:hint="eastAsia" w:ascii="仿宋" w:hAnsi="仿宋" w:eastAsia="仿宋"/>
          <w:b w:val="0"/>
          <w:color w:val="000000" w:themeColor="text1"/>
          <w:spacing w:val="-4"/>
          <w:sz w:val="32"/>
          <w:szCs w:val="32"/>
          <w14:textFill>
            <w14:solidFill>
              <w14:schemeClr w14:val="tx1"/>
            </w14:solidFill>
          </w14:textFill>
        </w:rPr>
        <w:t>经济性：</w:t>
      </w:r>
      <w:r>
        <w:rPr>
          <w:rStyle w:val="19"/>
          <w:rFonts w:hint="eastAsia" w:ascii="仿宋" w:hAnsi="仿宋" w:eastAsia="仿宋"/>
          <w:b w:val="0"/>
          <w:color w:val="000000" w:themeColor="text1"/>
          <w:spacing w:val="-4"/>
          <w:sz w:val="32"/>
          <w:szCs w:val="32"/>
          <w:lang w:eastAsia="zh-CN"/>
          <w14:textFill>
            <w14:solidFill>
              <w14:schemeClr w14:val="tx1"/>
            </w14:solidFill>
          </w14:textFill>
        </w:rPr>
        <w:t>按标准发放</w:t>
      </w:r>
      <w:r>
        <w:rPr>
          <w:rStyle w:val="19"/>
          <w:rFonts w:hint="eastAsia" w:ascii="仿宋" w:hAnsi="仿宋" w:eastAsia="仿宋"/>
          <w:b w:val="0"/>
          <w:color w:val="000000" w:themeColor="text1"/>
          <w:spacing w:val="-4"/>
          <w:sz w:val="32"/>
          <w:szCs w:val="32"/>
          <w14:textFill>
            <w14:solidFill>
              <w14:schemeClr w14:val="tx1"/>
            </w14:solidFill>
          </w14:textFill>
        </w:rPr>
        <w:t>农牧民夜校课时费</w:t>
      </w:r>
      <w:r>
        <w:rPr>
          <w:rStyle w:val="19"/>
          <w:rFonts w:hint="eastAsia" w:ascii="仿宋" w:hAnsi="仿宋" w:eastAsia="仿宋"/>
          <w:b w:val="0"/>
          <w:color w:val="000000" w:themeColor="text1"/>
          <w:spacing w:val="-4"/>
          <w:sz w:val="32"/>
          <w:szCs w:val="32"/>
          <w:lang w:eastAsia="zh-CN"/>
          <w14:textFill>
            <w14:solidFill>
              <w14:schemeClr w14:val="tx1"/>
            </w14:solidFill>
          </w14:textFill>
        </w:rPr>
        <w:t>。</w:t>
      </w:r>
    </w:p>
    <w:p>
      <w:pPr>
        <w:adjustRightInd w:val="0"/>
        <w:snapToGrid w:val="0"/>
        <w:spacing w:line="560" w:lineRule="exact"/>
        <w:ind w:firstLine="624" w:firstLineChars="200"/>
        <w:rPr>
          <w:rStyle w:val="19"/>
          <w:rFonts w:hint="eastAsia" w:ascii="仿宋" w:hAnsi="仿宋" w:eastAsia="仿宋"/>
          <w:b w:val="0"/>
          <w:color w:val="000000" w:themeColor="text1"/>
          <w:spacing w:val="-4"/>
          <w:sz w:val="32"/>
          <w:szCs w:val="32"/>
          <w:lang w:eastAsia="zh-CN"/>
          <w14:textFill>
            <w14:solidFill>
              <w14:schemeClr w14:val="tx1"/>
            </w14:solidFill>
          </w14:textFill>
        </w:rPr>
      </w:pPr>
      <w:r>
        <w:rPr>
          <w:rStyle w:val="19"/>
          <w:rFonts w:hint="eastAsia" w:ascii="仿宋" w:hAnsi="仿宋" w:eastAsia="仿宋"/>
          <w:b w:val="0"/>
          <w:color w:val="000000" w:themeColor="text1"/>
          <w:spacing w:val="-4"/>
          <w:sz w:val="32"/>
          <w:szCs w:val="32"/>
          <w14:textFill>
            <w14:solidFill>
              <w14:schemeClr w14:val="tx1"/>
            </w14:solidFill>
          </w14:textFill>
        </w:rPr>
        <w:t>效率性：</w:t>
      </w:r>
      <w:r>
        <w:rPr>
          <w:rStyle w:val="19"/>
          <w:rFonts w:hint="eastAsia" w:ascii="仿宋" w:hAnsi="仿宋" w:eastAsia="仿宋"/>
          <w:b w:val="0"/>
          <w:color w:val="000000" w:themeColor="text1"/>
          <w:spacing w:val="-4"/>
          <w:sz w:val="32"/>
          <w:szCs w:val="32"/>
          <w:lang w:eastAsia="zh-CN"/>
          <w14:textFill>
            <w14:solidFill>
              <w14:schemeClr w14:val="tx1"/>
            </w14:solidFill>
          </w14:textFill>
        </w:rPr>
        <w:t>及时足额发放</w:t>
      </w:r>
      <w:r>
        <w:rPr>
          <w:rStyle w:val="19"/>
          <w:rFonts w:hint="eastAsia" w:ascii="仿宋" w:hAnsi="仿宋" w:eastAsia="仿宋"/>
          <w:b w:val="0"/>
          <w:color w:val="000000" w:themeColor="text1"/>
          <w:spacing w:val="-4"/>
          <w:sz w:val="32"/>
          <w:szCs w:val="32"/>
          <w14:textFill>
            <w14:solidFill>
              <w14:schemeClr w14:val="tx1"/>
            </w14:solidFill>
          </w14:textFill>
        </w:rPr>
        <w:t>农牧民夜校任职教师课时费</w:t>
      </w:r>
      <w:r>
        <w:rPr>
          <w:rStyle w:val="19"/>
          <w:rFonts w:hint="eastAsia" w:ascii="仿宋" w:hAnsi="仿宋" w:eastAsia="仿宋"/>
          <w:b w:val="0"/>
          <w:color w:val="000000" w:themeColor="text1"/>
          <w:spacing w:val="-4"/>
          <w:sz w:val="32"/>
          <w:szCs w:val="32"/>
          <w:lang w:eastAsia="zh-CN"/>
          <w14:textFill>
            <w14:solidFill>
              <w14:schemeClr w14:val="tx1"/>
            </w14:solidFill>
          </w14:textFill>
        </w:rPr>
        <w:t>。</w:t>
      </w:r>
    </w:p>
    <w:p>
      <w:pPr>
        <w:adjustRightInd w:val="0"/>
        <w:snapToGrid w:val="0"/>
        <w:spacing w:line="560" w:lineRule="exact"/>
        <w:ind w:firstLine="624" w:firstLineChars="200"/>
        <w:rPr>
          <w:rFonts w:ascii="仿宋" w:hAnsi="仿宋" w:eastAsia="仿宋"/>
          <w:bCs/>
          <w:color w:val="FF0000"/>
          <w:spacing w:val="-4"/>
          <w:sz w:val="32"/>
          <w:szCs w:val="32"/>
        </w:rPr>
      </w:pPr>
      <w:r>
        <w:rPr>
          <w:rStyle w:val="19"/>
          <w:rFonts w:hint="eastAsia" w:ascii="仿宋" w:hAnsi="仿宋" w:eastAsia="仿宋"/>
          <w:b w:val="0"/>
          <w:color w:val="000000" w:themeColor="text1"/>
          <w:spacing w:val="-4"/>
          <w:sz w:val="32"/>
          <w:szCs w:val="32"/>
          <w14:textFill>
            <w14:solidFill>
              <w14:schemeClr w14:val="tx1"/>
            </w14:solidFill>
          </w14:textFill>
        </w:rPr>
        <w:t>效益性：有效提升教师工作积极性。</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bookmarkStart w:id="1" w:name="_GoBack"/>
      <w:bookmarkEnd w:id="1"/>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不存在未完成情况</w:t>
      </w:r>
      <w:r>
        <w:rPr>
          <w:rFonts w:ascii="仿宋" w:hAnsi="仿宋" w:eastAsia="仿宋"/>
          <w:spacing w:val="-4"/>
          <w:sz w:val="32"/>
          <w:szCs w:val="32"/>
        </w:rPr>
        <w:t>:</w:t>
      </w:r>
      <w:r>
        <w:rPr>
          <w:rFonts w:hint="eastAsia" w:ascii="仿宋" w:hAnsi="仿宋" w:eastAsia="仿宋"/>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774" w:firstLineChars="242"/>
        <w:rPr>
          <w:rFonts w:hint="eastAsia" w:ascii="仿宋" w:hAnsi="仿宋" w:eastAsia="仿宋" w:cs="Arial"/>
          <w:color w:val="000000" w:themeColor="text1"/>
          <w:sz w:val="32"/>
          <w:szCs w:val="32"/>
          <w:lang w:val="en-US" w:eastAsia="zh-CN"/>
        </w:rPr>
      </w:pPr>
      <w:r>
        <w:rPr>
          <w:rFonts w:hint="eastAsia" w:ascii="仿宋" w:hAnsi="仿宋" w:eastAsia="仿宋" w:cs="Arial"/>
          <w:color w:val="000000" w:themeColor="text1"/>
          <w:sz w:val="32"/>
          <w:szCs w:val="32"/>
        </w:rPr>
        <w:t>无</w:t>
      </w:r>
      <w:r>
        <w:rPr>
          <w:rFonts w:hint="eastAsia" w:ascii="仿宋" w:hAnsi="仿宋" w:eastAsia="仿宋" w:cs="Arial"/>
          <w:color w:val="000000" w:themeColor="text1"/>
          <w:sz w:val="32"/>
          <w:szCs w:val="32"/>
          <w:lang w:eastAsia="zh-CN"/>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40" w:firstLineChars="200"/>
        <w:rPr>
          <w:rFonts w:hint="eastAsia" w:ascii="仿宋" w:hAnsi="仿宋" w:eastAsia="仿宋" w:cs="Arial"/>
          <w:color w:val="000000" w:themeColor="text1"/>
          <w:sz w:val="32"/>
          <w:szCs w:val="32"/>
        </w:rPr>
      </w:pPr>
      <w:r>
        <w:rPr>
          <w:rFonts w:hint="eastAsia" w:ascii="仿宋" w:hAnsi="仿宋" w:eastAsia="仿宋" w:cs="Arial"/>
          <w:color w:val="000000" w:themeColor="text1"/>
          <w:sz w:val="32"/>
          <w:szCs w:val="32"/>
        </w:rPr>
        <w:t>1、主要经验及做法：</w:t>
      </w:r>
    </w:p>
    <w:p>
      <w:pPr>
        <w:adjustRightInd w:val="0"/>
        <w:snapToGrid w:val="0"/>
        <w:spacing w:line="56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在大额资金的发放过程中，一定要根据本地区的实际，提出适合本地区情况的具体发放措施。</w:t>
      </w:r>
    </w:p>
    <w:p>
      <w:pPr>
        <w:adjustRightInd w:val="0"/>
        <w:snapToGrid w:val="0"/>
        <w:spacing w:line="560" w:lineRule="exact"/>
        <w:ind w:firstLine="640" w:firstLineChars="200"/>
        <w:rPr>
          <w:rFonts w:hint="eastAsia" w:ascii="仿宋" w:hAnsi="仿宋" w:eastAsia="仿宋" w:cs="Arial"/>
          <w:color w:val="000000" w:themeColor="text1"/>
          <w:sz w:val="32"/>
          <w:szCs w:val="32"/>
        </w:rPr>
      </w:pPr>
      <w:r>
        <w:rPr>
          <w:rFonts w:hint="eastAsia" w:ascii="仿宋" w:hAnsi="仿宋" w:eastAsia="仿宋" w:cs="Arial"/>
          <w:color w:val="000000" w:themeColor="text1"/>
          <w:sz w:val="32"/>
          <w:szCs w:val="32"/>
        </w:rPr>
        <w:t>2、存在的问题：</w:t>
      </w:r>
    </w:p>
    <w:p>
      <w:pPr>
        <w:adjustRightInd w:val="0"/>
        <w:snapToGrid w:val="0"/>
        <w:spacing w:line="56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此次资金的发放，由于涉及到的金额大、范围广，如果要全部直接发放给受益人群，不利于操作。</w:t>
      </w:r>
    </w:p>
    <w:p>
      <w:pPr>
        <w:spacing w:line="540" w:lineRule="exact"/>
        <w:ind w:firstLine="774" w:firstLineChars="242"/>
        <w:rPr>
          <w:rFonts w:hint="eastAsia" w:ascii="仿宋" w:hAnsi="仿宋" w:eastAsia="仿宋" w:cs="Arial"/>
          <w:color w:val="000000" w:themeColor="text1"/>
          <w:sz w:val="32"/>
          <w:szCs w:val="32"/>
        </w:rPr>
      </w:pPr>
      <w:r>
        <w:rPr>
          <w:rFonts w:hint="eastAsia" w:ascii="仿宋" w:hAnsi="仿宋" w:eastAsia="仿宋" w:cs="Arial"/>
          <w:color w:val="000000" w:themeColor="text1"/>
          <w:sz w:val="32"/>
          <w:szCs w:val="32"/>
        </w:rPr>
        <w:t>3、建议：</w:t>
      </w:r>
    </w:p>
    <w:p>
      <w:pPr>
        <w:spacing w:line="540" w:lineRule="exact"/>
        <w:ind w:firstLine="774" w:firstLineChars="242"/>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经过各方商议，结合本地区实际，提出了由财政-组织部-乡（镇）府-领取人的具体实施措施，事实证明，这种方法适合我县实际。</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 w:hAnsi="仿宋" w:eastAsia="仿宋"/>
          <w:color w:val="FF0000"/>
          <w:spacing w:val="-4"/>
          <w:sz w:val="32"/>
          <w:szCs w:val="32"/>
        </w:rPr>
      </w:pPr>
      <w:r>
        <w:rPr>
          <w:rFonts w:hint="eastAsia" w:ascii="仿宋" w:hAnsi="仿宋" w:eastAsia="仿宋" w:cs="Arial"/>
          <w:color w:val="000000" w:themeColor="text1"/>
          <w:sz w:val="32"/>
          <w:szCs w:val="32"/>
          <w:lang w:eastAsia="zh-CN"/>
        </w:rPr>
        <w:t>本项目</w:t>
      </w:r>
      <w:r>
        <w:rPr>
          <w:rFonts w:hint="eastAsia" w:ascii="仿宋" w:hAnsi="仿宋" w:eastAsia="仿宋" w:cs="Arial"/>
          <w:color w:val="000000" w:themeColor="text1"/>
          <w:sz w:val="32"/>
          <w:szCs w:val="32"/>
        </w:rPr>
        <w:t>资金发放，采取的方法</w:t>
      </w:r>
      <w:r>
        <w:rPr>
          <w:rFonts w:hint="eastAsia" w:ascii="仿宋" w:hAnsi="仿宋" w:eastAsia="仿宋" w:cs="Arial"/>
          <w:color w:val="000000" w:themeColor="text1"/>
          <w:sz w:val="32"/>
          <w:szCs w:val="32"/>
          <w:lang w:eastAsia="zh-CN"/>
        </w:rPr>
        <w:t>规范</w:t>
      </w:r>
      <w:r>
        <w:rPr>
          <w:rFonts w:hint="eastAsia" w:ascii="仿宋" w:hAnsi="仿宋" w:eastAsia="仿宋" w:cs="Arial"/>
          <w:color w:val="000000" w:themeColor="text1"/>
          <w:sz w:val="32"/>
          <w:szCs w:val="32"/>
        </w:rPr>
        <w:t>，根据发放后不定期的调查，证明，各受益人对此次资金发放的方式和效率均表示满意。</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color w:val="FF0000"/>
          <w:spacing w:val="-4"/>
          <w:sz w:val="32"/>
          <w:szCs w:val="32"/>
        </w:rPr>
      </w:pPr>
    </w:p>
    <w:p>
      <w:pPr>
        <w:adjustRightInd w:val="0"/>
        <w:snapToGrid w:val="0"/>
        <w:spacing w:line="560" w:lineRule="exact"/>
        <w:rPr>
          <w:rStyle w:val="19"/>
          <w:rFonts w:ascii="仿宋" w:hAnsi="仿宋" w:eastAsia="仿宋"/>
          <w:color w:val="FF0000"/>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A74A3"/>
    <w:rsid w:val="0012208E"/>
    <w:rsid w:val="00135256"/>
    <w:rsid w:val="001A4E1F"/>
    <w:rsid w:val="001A57B9"/>
    <w:rsid w:val="001C3847"/>
    <w:rsid w:val="001F3031"/>
    <w:rsid w:val="00210A26"/>
    <w:rsid w:val="002A2532"/>
    <w:rsid w:val="002A2D76"/>
    <w:rsid w:val="0031134A"/>
    <w:rsid w:val="00365250"/>
    <w:rsid w:val="0036624C"/>
    <w:rsid w:val="00385849"/>
    <w:rsid w:val="003D7A9B"/>
    <w:rsid w:val="003F1A98"/>
    <w:rsid w:val="004B2869"/>
    <w:rsid w:val="004F4D31"/>
    <w:rsid w:val="0050167F"/>
    <w:rsid w:val="00514506"/>
    <w:rsid w:val="005162F1"/>
    <w:rsid w:val="00516E80"/>
    <w:rsid w:val="00535153"/>
    <w:rsid w:val="00575CFE"/>
    <w:rsid w:val="00583AFC"/>
    <w:rsid w:val="00592D09"/>
    <w:rsid w:val="006118C0"/>
    <w:rsid w:val="00675D58"/>
    <w:rsid w:val="00694CB1"/>
    <w:rsid w:val="006F2E6D"/>
    <w:rsid w:val="007218B8"/>
    <w:rsid w:val="00755C6A"/>
    <w:rsid w:val="00785FDE"/>
    <w:rsid w:val="007971CF"/>
    <w:rsid w:val="007A0351"/>
    <w:rsid w:val="007A14BC"/>
    <w:rsid w:val="007C1025"/>
    <w:rsid w:val="007E6845"/>
    <w:rsid w:val="007F5F8A"/>
    <w:rsid w:val="00826CA1"/>
    <w:rsid w:val="00835B7F"/>
    <w:rsid w:val="00855E3A"/>
    <w:rsid w:val="00882985"/>
    <w:rsid w:val="009065F4"/>
    <w:rsid w:val="00922CB9"/>
    <w:rsid w:val="009350F7"/>
    <w:rsid w:val="009B526F"/>
    <w:rsid w:val="009C1AFD"/>
    <w:rsid w:val="009D4BFB"/>
    <w:rsid w:val="00A26421"/>
    <w:rsid w:val="00A4293B"/>
    <w:rsid w:val="00A83BD5"/>
    <w:rsid w:val="00A977DF"/>
    <w:rsid w:val="00AE6A23"/>
    <w:rsid w:val="00B06CA5"/>
    <w:rsid w:val="00B13FCF"/>
    <w:rsid w:val="00B41F61"/>
    <w:rsid w:val="00B464C5"/>
    <w:rsid w:val="00B55332"/>
    <w:rsid w:val="00B86E8C"/>
    <w:rsid w:val="00BE1A00"/>
    <w:rsid w:val="00BE644D"/>
    <w:rsid w:val="00C11AE7"/>
    <w:rsid w:val="00C22CF0"/>
    <w:rsid w:val="00C56C72"/>
    <w:rsid w:val="00CA6457"/>
    <w:rsid w:val="00CC4442"/>
    <w:rsid w:val="00CC6E4D"/>
    <w:rsid w:val="00D00254"/>
    <w:rsid w:val="00D17F2E"/>
    <w:rsid w:val="00D46194"/>
    <w:rsid w:val="00E01293"/>
    <w:rsid w:val="00E027D1"/>
    <w:rsid w:val="00E769FE"/>
    <w:rsid w:val="00EA2CBE"/>
    <w:rsid w:val="00EF3FFA"/>
    <w:rsid w:val="00F32FEE"/>
    <w:rsid w:val="00F53E69"/>
    <w:rsid w:val="00FB1660"/>
    <w:rsid w:val="00FC71BA"/>
    <w:rsid w:val="01205C62"/>
    <w:rsid w:val="0AB56CE2"/>
    <w:rsid w:val="0EB107EC"/>
    <w:rsid w:val="21454B50"/>
    <w:rsid w:val="24F66815"/>
    <w:rsid w:val="275833BE"/>
    <w:rsid w:val="331104A6"/>
    <w:rsid w:val="397F4FE8"/>
    <w:rsid w:val="4EFD6A38"/>
    <w:rsid w:val="5A7F02EA"/>
    <w:rsid w:val="6E480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8"/>
    <w:uiPriority w:val="0"/>
    <w:rPr>
      <w:rFonts w:hint="default" w:ascii="Times New Roman" w:hAnsi="Times New Roman" w:cs="Times New Roman"/>
      <w:color w:val="000000"/>
      <w:sz w:val="24"/>
      <w:szCs w:val="24"/>
      <w:u w:val="none"/>
    </w:rPr>
  </w:style>
  <w:style w:type="character" w:customStyle="1" w:styleId="50">
    <w:name w:val="font01"/>
    <w:basedOn w:val="18"/>
    <w:uiPriority w:val="0"/>
    <w:rPr>
      <w:rFonts w:hint="eastAsia" w:ascii="宋体" w:hAnsi="宋体" w:eastAsia="宋体" w:cs="宋体"/>
      <w:color w:val="000000"/>
      <w:sz w:val="24"/>
      <w:szCs w:val="24"/>
      <w:u w:val="none"/>
    </w:rPr>
  </w:style>
  <w:style w:type="character" w:customStyle="1" w:styleId="51">
    <w:name w:val="font11"/>
    <w:basedOn w:val="18"/>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568A73-A783-4D87-9954-AF8AD2A7EF5B}">
  <ds:schemaRefs/>
</ds:datastoreItem>
</file>

<file path=docProps/app.xml><?xml version="1.0" encoding="utf-8"?>
<Properties xmlns="http://schemas.openxmlformats.org/officeDocument/2006/extended-properties" xmlns:vt="http://schemas.openxmlformats.org/officeDocument/2006/docPropsVTypes">
  <Template>Normal</Template>
  <Pages>5</Pages>
  <Words>228</Words>
  <Characters>1300</Characters>
  <Lines>10</Lines>
  <Paragraphs>3</Paragraphs>
  <TotalTime>41</TotalTime>
  <ScaleCrop>false</ScaleCrop>
  <LinksUpToDate>false</LinksUpToDate>
  <CharactersWithSpaces>1525</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敖影馨</cp:lastModifiedBy>
  <cp:lastPrinted>2018-12-17T10:15:00Z</cp:lastPrinted>
  <dcterms:modified xsi:type="dcterms:W3CDTF">2019-09-19T15:55:40Z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